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AB7" w:rsidRDefault="009C4AB7" w:rsidP="009C4AB7">
      <w:pPr>
        <w:rPr>
          <w:b/>
        </w:rPr>
      </w:pPr>
      <w:bookmarkStart w:id="0" w:name="_GoBack"/>
      <w:bookmarkEnd w:id="0"/>
    </w:p>
    <w:p w:rsidR="009C4AB7" w:rsidRDefault="009C4AB7" w:rsidP="009C4AB7">
      <w:pPr>
        <w:rPr>
          <w:b/>
        </w:rPr>
      </w:pPr>
    </w:p>
    <w:p w:rsidR="009C4AB7" w:rsidRDefault="009C4AB7" w:rsidP="009C4AB7">
      <w:pPr>
        <w:rPr>
          <w:b/>
        </w:rPr>
      </w:pPr>
    </w:p>
    <w:p w:rsidR="009C4AB7" w:rsidRDefault="009C4AB7" w:rsidP="009C4AB7">
      <w:pPr>
        <w:rPr>
          <w:b/>
        </w:rPr>
      </w:pPr>
    </w:p>
    <w:p w:rsidR="009C4AB7" w:rsidRDefault="009C4AB7" w:rsidP="009C4AB7">
      <w:pPr>
        <w:rPr>
          <w:b/>
        </w:rPr>
      </w:pPr>
    </w:p>
    <w:p w:rsidR="009C4AB7" w:rsidRDefault="009C4AB7" w:rsidP="009C4AB7">
      <w:pPr>
        <w:rPr>
          <w:b/>
        </w:rPr>
      </w:pPr>
    </w:p>
    <w:p w:rsidR="009C4AB7" w:rsidRDefault="009C4AB7" w:rsidP="009C4AB7">
      <w:pPr>
        <w:rPr>
          <w:b/>
        </w:rPr>
      </w:pPr>
    </w:p>
    <w:p w:rsidR="009C4AB7" w:rsidRDefault="009C4AB7" w:rsidP="009C4AB7">
      <w:pPr>
        <w:rPr>
          <w:b/>
        </w:rPr>
      </w:pPr>
    </w:p>
    <w:p w:rsidR="009C4AB7" w:rsidRDefault="009C4AB7" w:rsidP="009C4AB7">
      <w:pPr>
        <w:rPr>
          <w:b/>
        </w:rPr>
      </w:pPr>
    </w:p>
    <w:p w:rsidR="009C4AB7" w:rsidRDefault="009C4AB7" w:rsidP="009C4AB7">
      <w:pPr>
        <w:rPr>
          <w:b/>
        </w:rPr>
      </w:pPr>
    </w:p>
    <w:p w:rsidR="009C4AB7" w:rsidRDefault="009C4AB7" w:rsidP="009C4AB7">
      <w:pPr>
        <w:rPr>
          <w:b/>
        </w:rPr>
      </w:pPr>
    </w:p>
    <w:p w:rsidR="009C4AB7" w:rsidRDefault="009C4AB7" w:rsidP="009C4AB7">
      <w:pPr>
        <w:rPr>
          <w:b/>
        </w:rPr>
      </w:pPr>
    </w:p>
    <w:p w:rsidR="009C4AB7" w:rsidRDefault="009C4AB7" w:rsidP="009C4AB7">
      <w:pPr>
        <w:rPr>
          <w:b/>
        </w:rPr>
      </w:pPr>
    </w:p>
    <w:p w:rsidR="009C4AB7" w:rsidRDefault="009C4AB7" w:rsidP="009C4AB7">
      <w:pPr>
        <w:rPr>
          <w:b/>
        </w:rPr>
      </w:pPr>
    </w:p>
    <w:p w:rsidR="009C4AB7" w:rsidRDefault="009C4AB7" w:rsidP="009C4AB7">
      <w:pPr>
        <w:rPr>
          <w:b/>
        </w:rPr>
      </w:pPr>
    </w:p>
    <w:p w:rsidR="009C4AB7" w:rsidRPr="004F611F" w:rsidRDefault="009C4AB7" w:rsidP="009C4AB7">
      <w:pPr>
        <w:jc w:val="center"/>
        <w:rPr>
          <w:b/>
          <w:sz w:val="56"/>
          <w:szCs w:val="56"/>
        </w:rPr>
      </w:pPr>
      <w:r w:rsidRPr="004F611F">
        <w:rPr>
          <w:b/>
          <w:sz w:val="56"/>
          <w:szCs w:val="56"/>
        </w:rPr>
        <w:t>LANCASHIRE COUNTY PENSION FUND</w:t>
      </w:r>
    </w:p>
    <w:p w:rsidR="009C4AB7" w:rsidRPr="004F611F" w:rsidRDefault="009C4AB7" w:rsidP="009C4AB7">
      <w:pPr>
        <w:jc w:val="center"/>
        <w:rPr>
          <w:b/>
          <w:sz w:val="56"/>
          <w:szCs w:val="56"/>
        </w:rPr>
      </w:pPr>
    </w:p>
    <w:p w:rsidR="009C4AB7" w:rsidRPr="004F611F" w:rsidRDefault="009C4AB7" w:rsidP="009C4AB7">
      <w:pPr>
        <w:jc w:val="center"/>
        <w:rPr>
          <w:b/>
          <w:sz w:val="56"/>
          <w:szCs w:val="56"/>
        </w:rPr>
      </w:pPr>
      <w:r w:rsidRPr="004F611F">
        <w:rPr>
          <w:b/>
          <w:sz w:val="56"/>
          <w:szCs w:val="56"/>
        </w:rPr>
        <w:t>RISK REGISTER</w:t>
      </w:r>
    </w:p>
    <w:p w:rsidR="009C4AB7" w:rsidRPr="004F611F" w:rsidRDefault="009C4AB7" w:rsidP="009C4AB7">
      <w:pPr>
        <w:jc w:val="center"/>
        <w:rPr>
          <w:b/>
          <w:sz w:val="56"/>
          <w:szCs w:val="56"/>
        </w:rPr>
      </w:pPr>
    </w:p>
    <w:p w:rsidR="009C4AB7" w:rsidRPr="004F611F" w:rsidRDefault="00C65FEE" w:rsidP="009C4AB7">
      <w:pPr>
        <w:jc w:val="center"/>
        <w:rPr>
          <w:b/>
          <w:sz w:val="56"/>
          <w:szCs w:val="56"/>
        </w:rPr>
      </w:pPr>
      <w:r>
        <w:rPr>
          <w:b/>
          <w:sz w:val="56"/>
          <w:szCs w:val="56"/>
        </w:rPr>
        <w:t xml:space="preserve">JULY </w:t>
      </w:r>
      <w:r w:rsidR="009C4AB7" w:rsidRPr="004F611F">
        <w:rPr>
          <w:b/>
          <w:sz w:val="56"/>
          <w:szCs w:val="56"/>
        </w:rPr>
        <w:t>2014</w:t>
      </w:r>
    </w:p>
    <w:p w:rsidR="009C4AB7" w:rsidRPr="004F611F" w:rsidRDefault="009C4AB7" w:rsidP="009C4AB7">
      <w:pPr>
        <w:jc w:val="center"/>
        <w:rPr>
          <w:b/>
          <w:sz w:val="56"/>
          <w:szCs w:val="56"/>
        </w:rPr>
      </w:pPr>
    </w:p>
    <w:p w:rsidR="009C4AB7" w:rsidRDefault="009C4AB7" w:rsidP="009C4AB7">
      <w:pPr>
        <w:rPr>
          <w:b/>
        </w:rPr>
        <w:sectPr w:rsidR="009C4AB7" w:rsidSect="00CD786E">
          <w:headerReference w:type="default" r:id="rId8"/>
          <w:footerReference w:type="default" r:id="rId9"/>
          <w:pgSz w:w="23814" w:h="16840" w:orient="landscape" w:code="8"/>
          <w:pgMar w:top="993" w:right="1134" w:bottom="1276" w:left="1134" w:header="709" w:footer="688" w:gutter="0"/>
          <w:pgNumType w:fmt="numberInDash"/>
          <w:cols w:space="708"/>
          <w:docGrid w:linePitch="360"/>
        </w:sectPr>
      </w:pPr>
    </w:p>
    <w:p w:rsidR="009C4AB7" w:rsidRDefault="009C4AB7" w:rsidP="009C4AB7">
      <w:pPr>
        <w:rPr>
          <w:b/>
        </w:rPr>
      </w:pPr>
    </w:p>
    <w:p w:rsidR="009C4AB7" w:rsidRDefault="009C4AB7" w:rsidP="009C4AB7">
      <w:pPr>
        <w:rPr>
          <w:b/>
        </w:rPr>
      </w:pPr>
    </w:p>
    <w:p w:rsidR="009C4AB7" w:rsidRDefault="009C4AB7" w:rsidP="009C4AB7">
      <w:pPr>
        <w:rPr>
          <w:b/>
        </w:rPr>
      </w:pPr>
    </w:p>
    <w:p w:rsidR="009C4AB7" w:rsidRPr="00965D19" w:rsidRDefault="009C4AB7" w:rsidP="009C4AB7">
      <w:pPr>
        <w:pStyle w:val="ListParagraph"/>
        <w:numPr>
          <w:ilvl w:val="0"/>
          <w:numId w:val="3"/>
        </w:numPr>
        <w:rPr>
          <w:b/>
        </w:rPr>
      </w:pPr>
      <w:r w:rsidRPr="00965D19">
        <w:rPr>
          <w:b/>
        </w:rPr>
        <w:t>Objectives of the Risk Register</w:t>
      </w:r>
    </w:p>
    <w:p w:rsidR="009C4AB7" w:rsidRDefault="009C4AB7" w:rsidP="009C4AB7">
      <w:pPr>
        <w:rPr>
          <w:b/>
        </w:rPr>
      </w:pPr>
    </w:p>
    <w:p w:rsidR="009C4AB7" w:rsidRDefault="009C4AB7" w:rsidP="009C4AB7">
      <w:pPr>
        <w:ind w:left="709"/>
      </w:pPr>
      <w:r>
        <w:t>These are to:</w:t>
      </w:r>
    </w:p>
    <w:p w:rsidR="009C4AB7" w:rsidRPr="009C4AB7" w:rsidRDefault="009C4AB7" w:rsidP="009C4AB7">
      <w:pPr>
        <w:pStyle w:val="ListParagraph"/>
        <w:numPr>
          <w:ilvl w:val="0"/>
          <w:numId w:val="2"/>
        </w:numPr>
        <w:spacing w:before="240" w:after="240"/>
        <w:ind w:left="715" w:hanging="6"/>
        <w:contextualSpacing w:val="0"/>
      </w:pPr>
      <w:r>
        <w:t>I</w:t>
      </w:r>
      <w:r w:rsidRPr="009C4AB7">
        <w:t>dentify key risks to the achievement of the Fund’s objectives and to the Fund's day to day operations;</w:t>
      </w:r>
    </w:p>
    <w:p w:rsidR="009C4AB7" w:rsidRDefault="009C4AB7" w:rsidP="009C4AB7">
      <w:pPr>
        <w:pStyle w:val="ListParagraph"/>
        <w:numPr>
          <w:ilvl w:val="0"/>
          <w:numId w:val="2"/>
        </w:numPr>
        <w:spacing w:before="240" w:after="240"/>
        <w:ind w:left="714" w:hanging="5"/>
        <w:contextualSpacing w:val="0"/>
      </w:pPr>
      <w:r>
        <w:t>Consider the risks identified;</w:t>
      </w:r>
    </w:p>
    <w:p w:rsidR="009C4AB7" w:rsidRPr="00965D19" w:rsidRDefault="009C4AB7" w:rsidP="009C4AB7">
      <w:pPr>
        <w:pStyle w:val="ListParagraph"/>
        <w:numPr>
          <w:ilvl w:val="0"/>
          <w:numId w:val="2"/>
        </w:numPr>
        <w:spacing w:before="240" w:after="240"/>
        <w:ind w:left="714" w:hanging="5"/>
        <w:contextualSpacing w:val="0"/>
      </w:pPr>
      <w:r>
        <w:t>Assess the significance of the risks.</w:t>
      </w:r>
    </w:p>
    <w:p w:rsidR="009C4AB7" w:rsidRDefault="009C4AB7" w:rsidP="009C4AB7">
      <w:pPr>
        <w:rPr>
          <w:b/>
        </w:rPr>
      </w:pPr>
    </w:p>
    <w:p w:rsidR="009C4AB7" w:rsidRDefault="009C4AB7" w:rsidP="009C4AB7">
      <w:pPr>
        <w:pStyle w:val="ListParagraph"/>
        <w:numPr>
          <w:ilvl w:val="0"/>
          <w:numId w:val="3"/>
        </w:numPr>
        <w:rPr>
          <w:b/>
        </w:rPr>
      </w:pPr>
      <w:r>
        <w:rPr>
          <w:b/>
        </w:rPr>
        <w:t>Risk assessment</w:t>
      </w:r>
    </w:p>
    <w:p w:rsidR="009C4AB7" w:rsidRDefault="009C4AB7" w:rsidP="009C4AB7">
      <w:pPr>
        <w:rPr>
          <w:b/>
        </w:rPr>
      </w:pPr>
    </w:p>
    <w:p w:rsidR="009C4AB7" w:rsidRDefault="009C4AB7" w:rsidP="009C4AB7">
      <w:pPr>
        <w:ind w:left="709"/>
      </w:pPr>
      <w:r w:rsidRPr="00965D19">
        <w:t>Identified risks are assessed separately and for each risk the following is determined:</w:t>
      </w:r>
    </w:p>
    <w:p w:rsidR="009C4AB7" w:rsidRDefault="009C4AB7" w:rsidP="009C4AB7">
      <w:pPr>
        <w:pStyle w:val="ListParagraph"/>
        <w:numPr>
          <w:ilvl w:val="0"/>
          <w:numId w:val="2"/>
        </w:numPr>
        <w:spacing w:before="240" w:after="240"/>
        <w:ind w:left="714" w:hanging="5"/>
        <w:contextualSpacing w:val="0"/>
      </w:pPr>
      <w:r>
        <w:t>The likelihood and impact of the risk materialising without any mitigating controls being applied – 'the gross risk'.</w:t>
      </w:r>
    </w:p>
    <w:p w:rsidR="009C4AB7" w:rsidRDefault="009C4AB7" w:rsidP="009C4AB7">
      <w:pPr>
        <w:pStyle w:val="ListParagraph"/>
        <w:numPr>
          <w:ilvl w:val="0"/>
          <w:numId w:val="2"/>
        </w:numPr>
        <w:spacing w:before="240" w:after="240"/>
        <w:ind w:left="714" w:hanging="5"/>
        <w:contextualSpacing w:val="0"/>
      </w:pPr>
      <w:r>
        <w:t>The likelihood and impact of the risk materialising with mitigating controls being applied – 'the residual risk'.</w:t>
      </w:r>
    </w:p>
    <w:p w:rsidR="009C4AB7" w:rsidRDefault="009C4AB7" w:rsidP="009C4AB7">
      <w:pPr>
        <w:pStyle w:val="ListParagraph"/>
        <w:numPr>
          <w:ilvl w:val="0"/>
          <w:numId w:val="2"/>
        </w:numPr>
        <w:spacing w:before="240" w:after="240"/>
        <w:ind w:left="714" w:hanging="5"/>
        <w:contextualSpacing w:val="0"/>
      </w:pPr>
      <w:r>
        <w:t>Risks are evaluated on a sliding scale of 1 – 4 with the highest value being the most likely to occur/ most severe impact.</w:t>
      </w:r>
    </w:p>
    <w:p w:rsidR="009C4AB7" w:rsidRDefault="009C4AB7" w:rsidP="009C4AB7">
      <w:pPr>
        <w:pStyle w:val="ListParagraph"/>
        <w:numPr>
          <w:ilvl w:val="0"/>
          <w:numId w:val="2"/>
        </w:numPr>
        <w:spacing w:before="240" w:after="240"/>
        <w:ind w:left="714" w:hanging="5"/>
        <w:contextualSpacing w:val="0"/>
      </w:pPr>
      <w:r>
        <w:t>The product of the likelihood and impact scores is the risk score:</w:t>
      </w:r>
    </w:p>
    <w:p w:rsidR="009C4AB7" w:rsidRDefault="009C4AB7" w:rsidP="009C4AB7">
      <w:pPr>
        <w:pStyle w:val="ListParagraph"/>
        <w:spacing w:before="240" w:after="240"/>
        <w:ind w:left="714"/>
        <w:contextualSpacing w:val="0"/>
      </w:pPr>
    </w:p>
    <w:tbl>
      <w:tblPr>
        <w:tblStyle w:val="TableGrid"/>
        <w:tblW w:w="0" w:type="auto"/>
        <w:tblInd w:w="4786" w:type="dxa"/>
        <w:tblLook w:val="04A0" w:firstRow="1" w:lastRow="0" w:firstColumn="1" w:lastColumn="0" w:noHBand="0" w:noVBand="1"/>
      </w:tblPr>
      <w:tblGrid>
        <w:gridCol w:w="992"/>
        <w:gridCol w:w="1134"/>
        <w:gridCol w:w="2693"/>
        <w:gridCol w:w="2693"/>
        <w:gridCol w:w="2693"/>
        <w:gridCol w:w="2694"/>
      </w:tblGrid>
      <w:tr w:rsidR="009C4AB7" w:rsidTr="00001B1E">
        <w:tc>
          <w:tcPr>
            <w:tcW w:w="992" w:type="dxa"/>
            <w:vMerge w:val="restart"/>
            <w:textDirection w:val="btLr"/>
          </w:tcPr>
          <w:p w:rsidR="009C4AB7" w:rsidRPr="008C5AB5" w:rsidRDefault="009C4AB7" w:rsidP="00001B1E">
            <w:pPr>
              <w:spacing w:before="240" w:after="240"/>
              <w:ind w:left="113" w:right="113"/>
              <w:jc w:val="center"/>
              <w:rPr>
                <w:b/>
              </w:rPr>
            </w:pPr>
            <w:r w:rsidRPr="008C5AB5">
              <w:rPr>
                <w:b/>
              </w:rPr>
              <w:t>Likelihood</w:t>
            </w:r>
          </w:p>
        </w:tc>
        <w:tc>
          <w:tcPr>
            <w:tcW w:w="1134" w:type="dxa"/>
          </w:tcPr>
          <w:p w:rsidR="009C4AB7" w:rsidRPr="008C5AB5" w:rsidRDefault="009C4AB7" w:rsidP="00001B1E">
            <w:pPr>
              <w:spacing w:before="240" w:after="240"/>
              <w:jc w:val="center"/>
              <w:rPr>
                <w:b/>
              </w:rPr>
            </w:pPr>
            <w:r w:rsidRPr="008C5AB5">
              <w:rPr>
                <w:b/>
              </w:rPr>
              <w:t>4</w:t>
            </w:r>
          </w:p>
        </w:tc>
        <w:tc>
          <w:tcPr>
            <w:tcW w:w="2693" w:type="dxa"/>
            <w:tcBorders>
              <w:right w:val="single" w:sz="24" w:space="0" w:color="auto"/>
            </w:tcBorders>
            <w:shd w:val="clear" w:color="auto" w:fill="FFFF00"/>
          </w:tcPr>
          <w:p w:rsidR="009C4AB7" w:rsidRPr="008C5AB5" w:rsidRDefault="009C4AB7" w:rsidP="00001B1E">
            <w:pPr>
              <w:spacing w:before="240" w:after="240"/>
              <w:jc w:val="center"/>
              <w:rPr>
                <w:b/>
              </w:rPr>
            </w:pPr>
            <w:r w:rsidRPr="008C5AB5">
              <w:rPr>
                <w:b/>
              </w:rPr>
              <w:t>4</w:t>
            </w:r>
            <w:r>
              <w:rPr>
                <w:b/>
              </w:rPr>
              <w:t xml:space="preserve"> – medium/ low</w:t>
            </w:r>
          </w:p>
        </w:tc>
        <w:tc>
          <w:tcPr>
            <w:tcW w:w="2693" w:type="dxa"/>
            <w:tcBorders>
              <w:left w:val="single" w:sz="24" w:space="0" w:color="auto"/>
              <w:bottom w:val="single" w:sz="4" w:space="0" w:color="auto"/>
            </w:tcBorders>
            <w:shd w:val="clear" w:color="auto" w:fill="FFC000"/>
          </w:tcPr>
          <w:p w:rsidR="009C4AB7" w:rsidRPr="008C5AB5" w:rsidRDefault="009C4AB7" w:rsidP="00001B1E">
            <w:pPr>
              <w:spacing w:before="240" w:after="240"/>
              <w:jc w:val="center"/>
              <w:rPr>
                <w:b/>
              </w:rPr>
            </w:pPr>
            <w:r w:rsidRPr="008C5AB5">
              <w:rPr>
                <w:b/>
              </w:rPr>
              <w:t>8</w:t>
            </w:r>
            <w:r>
              <w:rPr>
                <w:b/>
              </w:rPr>
              <w:t>- medium/ high</w:t>
            </w:r>
          </w:p>
        </w:tc>
        <w:tc>
          <w:tcPr>
            <w:tcW w:w="2693" w:type="dxa"/>
            <w:shd w:val="clear" w:color="auto" w:fill="FF0000"/>
          </w:tcPr>
          <w:p w:rsidR="009C4AB7" w:rsidRPr="008C5AB5" w:rsidRDefault="009C4AB7" w:rsidP="00001B1E">
            <w:pPr>
              <w:spacing w:before="240" w:after="240"/>
              <w:jc w:val="center"/>
              <w:rPr>
                <w:b/>
              </w:rPr>
            </w:pPr>
            <w:r w:rsidRPr="008C5AB5">
              <w:rPr>
                <w:b/>
              </w:rPr>
              <w:t>12</w:t>
            </w:r>
            <w:r>
              <w:rPr>
                <w:b/>
              </w:rPr>
              <w:t xml:space="preserve"> - high</w:t>
            </w:r>
          </w:p>
        </w:tc>
        <w:tc>
          <w:tcPr>
            <w:tcW w:w="2694" w:type="dxa"/>
            <w:shd w:val="clear" w:color="auto" w:fill="FF0000"/>
          </w:tcPr>
          <w:p w:rsidR="009C4AB7" w:rsidRPr="008C5AB5" w:rsidRDefault="009C4AB7" w:rsidP="00001B1E">
            <w:pPr>
              <w:spacing w:before="240" w:after="240"/>
              <w:jc w:val="center"/>
              <w:rPr>
                <w:b/>
              </w:rPr>
            </w:pPr>
            <w:r w:rsidRPr="008C5AB5">
              <w:rPr>
                <w:b/>
              </w:rPr>
              <w:t>16</w:t>
            </w:r>
            <w:r>
              <w:rPr>
                <w:b/>
              </w:rPr>
              <w:t xml:space="preserve"> – high</w:t>
            </w:r>
          </w:p>
        </w:tc>
      </w:tr>
      <w:tr w:rsidR="009C4AB7" w:rsidTr="00001B1E">
        <w:tc>
          <w:tcPr>
            <w:tcW w:w="992" w:type="dxa"/>
            <w:vMerge/>
          </w:tcPr>
          <w:p w:rsidR="009C4AB7" w:rsidRDefault="009C4AB7" w:rsidP="00001B1E">
            <w:pPr>
              <w:spacing w:before="240" w:after="240"/>
              <w:rPr>
                <w:b/>
                <w:color w:val="FF0000"/>
              </w:rPr>
            </w:pPr>
          </w:p>
        </w:tc>
        <w:tc>
          <w:tcPr>
            <w:tcW w:w="1134" w:type="dxa"/>
          </w:tcPr>
          <w:p w:rsidR="009C4AB7" w:rsidRPr="008C5AB5" w:rsidRDefault="009C4AB7" w:rsidP="00001B1E">
            <w:pPr>
              <w:spacing w:before="240" w:after="240"/>
              <w:jc w:val="center"/>
              <w:rPr>
                <w:b/>
              </w:rPr>
            </w:pPr>
            <w:r w:rsidRPr="008C5AB5">
              <w:rPr>
                <w:b/>
              </w:rPr>
              <w:t>3</w:t>
            </w:r>
          </w:p>
        </w:tc>
        <w:tc>
          <w:tcPr>
            <w:tcW w:w="2693" w:type="dxa"/>
            <w:tcBorders>
              <w:right w:val="single" w:sz="24" w:space="0" w:color="auto"/>
            </w:tcBorders>
            <w:shd w:val="clear" w:color="auto" w:fill="FFFF00"/>
          </w:tcPr>
          <w:p w:rsidR="009C4AB7" w:rsidRPr="008C5AB5" w:rsidRDefault="009C4AB7" w:rsidP="00001B1E">
            <w:pPr>
              <w:spacing w:before="240" w:after="240"/>
              <w:jc w:val="center"/>
              <w:rPr>
                <w:b/>
              </w:rPr>
            </w:pPr>
            <w:r w:rsidRPr="008C5AB5">
              <w:rPr>
                <w:b/>
              </w:rPr>
              <w:t>3</w:t>
            </w:r>
            <w:r>
              <w:rPr>
                <w:b/>
              </w:rPr>
              <w:t xml:space="preserve"> – medium/ low</w:t>
            </w:r>
          </w:p>
        </w:tc>
        <w:tc>
          <w:tcPr>
            <w:tcW w:w="2693" w:type="dxa"/>
            <w:tcBorders>
              <w:left w:val="single" w:sz="24" w:space="0" w:color="auto"/>
              <w:bottom w:val="single" w:sz="24" w:space="0" w:color="auto"/>
            </w:tcBorders>
            <w:shd w:val="clear" w:color="auto" w:fill="FFC000"/>
          </w:tcPr>
          <w:p w:rsidR="009C4AB7" w:rsidRPr="008C5AB5" w:rsidRDefault="009C4AB7" w:rsidP="00001B1E">
            <w:pPr>
              <w:spacing w:before="240" w:after="240"/>
              <w:jc w:val="center"/>
              <w:rPr>
                <w:b/>
              </w:rPr>
            </w:pPr>
            <w:r w:rsidRPr="008C5AB5">
              <w:rPr>
                <w:b/>
              </w:rPr>
              <w:t>6</w:t>
            </w:r>
            <w:r>
              <w:rPr>
                <w:b/>
              </w:rPr>
              <w:t xml:space="preserve"> – medium/ high</w:t>
            </w:r>
          </w:p>
        </w:tc>
        <w:tc>
          <w:tcPr>
            <w:tcW w:w="2693" w:type="dxa"/>
            <w:tcBorders>
              <w:bottom w:val="single" w:sz="4" w:space="0" w:color="auto"/>
            </w:tcBorders>
            <w:shd w:val="clear" w:color="auto" w:fill="FFC000"/>
          </w:tcPr>
          <w:p w:rsidR="009C4AB7" w:rsidRPr="008C5AB5" w:rsidRDefault="009C4AB7" w:rsidP="00001B1E">
            <w:pPr>
              <w:spacing w:before="240" w:after="240"/>
              <w:jc w:val="center"/>
              <w:rPr>
                <w:b/>
              </w:rPr>
            </w:pPr>
            <w:r w:rsidRPr="008C5AB5">
              <w:rPr>
                <w:b/>
              </w:rPr>
              <w:t>9</w:t>
            </w:r>
            <w:r>
              <w:rPr>
                <w:b/>
              </w:rPr>
              <w:t xml:space="preserve"> – medium/ high</w:t>
            </w:r>
          </w:p>
        </w:tc>
        <w:tc>
          <w:tcPr>
            <w:tcW w:w="2694" w:type="dxa"/>
            <w:tcBorders>
              <w:bottom w:val="single" w:sz="4" w:space="0" w:color="auto"/>
            </w:tcBorders>
            <w:shd w:val="clear" w:color="auto" w:fill="FF0000"/>
          </w:tcPr>
          <w:p w:rsidR="009C4AB7" w:rsidRPr="008C5AB5" w:rsidRDefault="009C4AB7" w:rsidP="00001B1E">
            <w:pPr>
              <w:spacing w:before="240" w:after="240"/>
              <w:jc w:val="center"/>
              <w:rPr>
                <w:b/>
              </w:rPr>
            </w:pPr>
            <w:r w:rsidRPr="008C5AB5">
              <w:rPr>
                <w:b/>
              </w:rPr>
              <w:t>12</w:t>
            </w:r>
            <w:r>
              <w:rPr>
                <w:b/>
              </w:rPr>
              <w:t xml:space="preserve"> – high</w:t>
            </w:r>
          </w:p>
        </w:tc>
      </w:tr>
      <w:tr w:rsidR="009C4AB7" w:rsidTr="00001B1E">
        <w:tc>
          <w:tcPr>
            <w:tcW w:w="992" w:type="dxa"/>
            <w:vMerge/>
          </w:tcPr>
          <w:p w:rsidR="009C4AB7" w:rsidRDefault="009C4AB7" w:rsidP="00001B1E">
            <w:pPr>
              <w:spacing w:before="240" w:after="240"/>
              <w:rPr>
                <w:b/>
                <w:color w:val="FF0000"/>
              </w:rPr>
            </w:pPr>
          </w:p>
        </w:tc>
        <w:tc>
          <w:tcPr>
            <w:tcW w:w="1134" w:type="dxa"/>
          </w:tcPr>
          <w:p w:rsidR="009C4AB7" w:rsidRPr="008C5AB5" w:rsidRDefault="009C4AB7" w:rsidP="00001B1E">
            <w:pPr>
              <w:spacing w:before="240" w:after="240"/>
              <w:jc w:val="center"/>
              <w:rPr>
                <w:b/>
              </w:rPr>
            </w:pPr>
            <w:r w:rsidRPr="008C5AB5">
              <w:rPr>
                <w:b/>
              </w:rPr>
              <w:t>2</w:t>
            </w:r>
          </w:p>
        </w:tc>
        <w:tc>
          <w:tcPr>
            <w:tcW w:w="2693" w:type="dxa"/>
            <w:shd w:val="clear" w:color="auto" w:fill="00B050"/>
          </w:tcPr>
          <w:p w:rsidR="009C4AB7" w:rsidRPr="008C5AB5" w:rsidRDefault="009C4AB7" w:rsidP="00001B1E">
            <w:pPr>
              <w:spacing w:before="240" w:after="240"/>
              <w:jc w:val="center"/>
              <w:rPr>
                <w:b/>
              </w:rPr>
            </w:pPr>
            <w:r w:rsidRPr="008C5AB5">
              <w:rPr>
                <w:b/>
              </w:rPr>
              <w:t>2</w:t>
            </w:r>
            <w:r>
              <w:rPr>
                <w:b/>
              </w:rPr>
              <w:t xml:space="preserve"> – low</w:t>
            </w:r>
          </w:p>
        </w:tc>
        <w:tc>
          <w:tcPr>
            <w:tcW w:w="2693" w:type="dxa"/>
            <w:tcBorders>
              <w:top w:val="single" w:sz="24" w:space="0" w:color="auto"/>
              <w:right w:val="single" w:sz="24" w:space="0" w:color="auto"/>
            </w:tcBorders>
            <w:shd w:val="clear" w:color="auto" w:fill="FFFF00"/>
          </w:tcPr>
          <w:p w:rsidR="009C4AB7" w:rsidRPr="008C5AB5" w:rsidRDefault="009C4AB7" w:rsidP="00001B1E">
            <w:pPr>
              <w:spacing w:before="240" w:after="240"/>
              <w:jc w:val="center"/>
              <w:rPr>
                <w:b/>
              </w:rPr>
            </w:pPr>
            <w:r w:rsidRPr="008C5AB5">
              <w:rPr>
                <w:b/>
              </w:rPr>
              <w:t>4</w:t>
            </w:r>
            <w:r>
              <w:rPr>
                <w:b/>
              </w:rPr>
              <w:t xml:space="preserve"> – medium/ low</w:t>
            </w:r>
          </w:p>
        </w:tc>
        <w:tc>
          <w:tcPr>
            <w:tcW w:w="2693" w:type="dxa"/>
            <w:tcBorders>
              <w:left w:val="single" w:sz="24" w:space="0" w:color="auto"/>
              <w:bottom w:val="single" w:sz="24" w:space="0" w:color="auto"/>
            </w:tcBorders>
            <w:shd w:val="clear" w:color="auto" w:fill="FFC000"/>
          </w:tcPr>
          <w:p w:rsidR="009C4AB7" w:rsidRPr="008C5AB5" w:rsidRDefault="009C4AB7" w:rsidP="00001B1E">
            <w:pPr>
              <w:spacing w:before="240" w:after="240"/>
              <w:jc w:val="center"/>
              <w:rPr>
                <w:b/>
              </w:rPr>
            </w:pPr>
            <w:r w:rsidRPr="008C5AB5">
              <w:rPr>
                <w:b/>
              </w:rPr>
              <w:t>6</w:t>
            </w:r>
            <w:r>
              <w:rPr>
                <w:b/>
              </w:rPr>
              <w:t xml:space="preserve"> – medium/ high</w:t>
            </w:r>
          </w:p>
        </w:tc>
        <w:tc>
          <w:tcPr>
            <w:tcW w:w="2694" w:type="dxa"/>
            <w:tcBorders>
              <w:bottom w:val="single" w:sz="24" w:space="0" w:color="auto"/>
            </w:tcBorders>
            <w:shd w:val="clear" w:color="auto" w:fill="FFC000"/>
          </w:tcPr>
          <w:p w:rsidR="009C4AB7" w:rsidRPr="008C5AB5" w:rsidRDefault="009C4AB7" w:rsidP="00001B1E">
            <w:pPr>
              <w:spacing w:before="240" w:after="240"/>
              <w:jc w:val="center"/>
              <w:rPr>
                <w:b/>
              </w:rPr>
            </w:pPr>
            <w:r w:rsidRPr="008C5AB5">
              <w:rPr>
                <w:b/>
              </w:rPr>
              <w:t>8</w:t>
            </w:r>
            <w:r>
              <w:rPr>
                <w:b/>
              </w:rPr>
              <w:t xml:space="preserve"> – medium/ high</w:t>
            </w:r>
          </w:p>
        </w:tc>
      </w:tr>
      <w:tr w:rsidR="009C4AB7" w:rsidTr="00001B1E">
        <w:tc>
          <w:tcPr>
            <w:tcW w:w="992" w:type="dxa"/>
            <w:vMerge/>
          </w:tcPr>
          <w:p w:rsidR="009C4AB7" w:rsidRDefault="009C4AB7" w:rsidP="00001B1E">
            <w:pPr>
              <w:spacing w:before="240" w:after="240"/>
              <w:rPr>
                <w:b/>
                <w:color w:val="FF0000"/>
              </w:rPr>
            </w:pPr>
          </w:p>
        </w:tc>
        <w:tc>
          <w:tcPr>
            <w:tcW w:w="1134" w:type="dxa"/>
          </w:tcPr>
          <w:p w:rsidR="009C4AB7" w:rsidRPr="008C5AB5" w:rsidRDefault="009C4AB7" w:rsidP="00001B1E">
            <w:pPr>
              <w:spacing w:before="240" w:after="240"/>
              <w:jc w:val="center"/>
              <w:rPr>
                <w:b/>
              </w:rPr>
            </w:pPr>
            <w:r w:rsidRPr="008C5AB5">
              <w:rPr>
                <w:b/>
              </w:rPr>
              <w:t>1</w:t>
            </w:r>
          </w:p>
        </w:tc>
        <w:tc>
          <w:tcPr>
            <w:tcW w:w="2693" w:type="dxa"/>
            <w:shd w:val="clear" w:color="auto" w:fill="00B050"/>
          </w:tcPr>
          <w:p w:rsidR="009C4AB7" w:rsidRPr="008C5AB5" w:rsidRDefault="009C4AB7" w:rsidP="00001B1E">
            <w:pPr>
              <w:spacing w:before="240" w:after="240"/>
              <w:jc w:val="center"/>
              <w:rPr>
                <w:b/>
              </w:rPr>
            </w:pPr>
            <w:r w:rsidRPr="008C5AB5">
              <w:rPr>
                <w:b/>
              </w:rPr>
              <w:t>1</w:t>
            </w:r>
            <w:r>
              <w:rPr>
                <w:b/>
              </w:rPr>
              <w:t xml:space="preserve"> – low</w:t>
            </w:r>
          </w:p>
        </w:tc>
        <w:tc>
          <w:tcPr>
            <w:tcW w:w="2693" w:type="dxa"/>
            <w:shd w:val="clear" w:color="auto" w:fill="00B050"/>
          </w:tcPr>
          <w:p w:rsidR="009C4AB7" w:rsidRPr="008C5AB5" w:rsidRDefault="009C4AB7" w:rsidP="00001B1E">
            <w:pPr>
              <w:spacing w:before="240" w:after="240"/>
              <w:jc w:val="center"/>
              <w:rPr>
                <w:b/>
              </w:rPr>
            </w:pPr>
            <w:r>
              <w:rPr>
                <w:b/>
              </w:rPr>
              <w:t>2 - low</w:t>
            </w:r>
          </w:p>
        </w:tc>
        <w:tc>
          <w:tcPr>
            <w:tcW w:w="2693" w:type="dxa"/>
            <w:tcBorders>
              <w:top w:val="single" w:sz="24" w:space="0" w:color="auto"/>
            </w:tcBorders>
            <w:shd w:val="clear" w:color="auto" w:fill="FFFF00"/>
          </w:tcPr>
          <w:p w:rsidR="009C4AB7" w:rsidRPr="008C5AB5" w:rsidRDefault="009C4AB7" w:rsidP="00001B1E">
            <w:pPr>
              <w:spacing w:before="240" w:after="240"/>
              <w:jc w:val="center"/>
              <w:rPr>
                <w:b/>
              </w:rPr>
            </w:pPr>
            <w:r w:rsidRPr="008C5AB5">
              <w:rPr>
                <w:b/>
              </w:rPr>
              <w:t>3</w:t>
            </w:r>
            <w:r>
              <w:rPr>
                <w:b/>
              </w:rPr>
              <w:t xml:space="preserve"> – medium/ low</w:t>
            </w:r>
          </w:p>
        </w:tc>
        <w:tc>
          <w:tcPr>
            <w:tcW w:w="2694" w:type="dxa"/>
            <w:tcBorders>
              <w:top w:val="single" w:sz="24" w:space="0" w:color="auto"/>
            </w:tcBorders>
            <w:shd w:val="clear" w:color="auto" w:fill="FFFF00"/>
          </w:tcPr>
          <w:p w:rsidR="009C4AB7" w:rsidRPr="008C5AB5" w:rsidRDefault="009C4AB7" w:rsidP="00001B1E">
            <w:pPr>
              <w:spacing w:before="240" w:after="240"/>
              <w:jc w:val="center"/>
              <w:rPr>
                <w:b/>
              </w:rPr>
            </w:pPr>
            <w:r w:rsidRPr="008C5AB5">
              <w:rPr>
                <w:b/>
              </w:rPr>
              <w:t>4</w:t>
            </w:r>
            <w:r>
              <w:rPr>
                <w:b/>
              </w:rPr>
              <w:t xml:space="preserve"> – medium/ low</w:t>
            </w:r>
          </w:p>
        </w:tc>
      </w:tr>
      <w:tr w:rsidR="009C4AB7" w:rsidTr="00001B1E">
        <w:tc>
          <w:tcPr>
            <w:tcW w:w="992" w:type="dxa"/>
            <w:vMerge/>
          </w:tcPr>
          <w:p w:rsidR="009C4AB7" w:rsidRDefault="009C4AB7" w:rsidP="00001B1E">
            <w:pPr>
              <w:spacing w:before="240" w:after="240"/>
              <w:rPr>
                <w:b/>
                <w:color w:val="FF0000"/>
              </w:rPr>
            </w:pPr>
          </w:p>
        </w:tc>
        <w:tc>
          <w:tcPr>
            <w:tcW w:w="1134" w:type="dxa"/>
          </w:tcPr>
          <w:p w:rsidR="009C4AB7" w:rsidRDefault="009C4AB7" w:rsidP="00001B1E">
            <w:pPr>
              <w:spacing w:before="240" w:after="240"/>
              <w:rPr>
                <w:b/>
                <w:color w:val="FF0000"/>
              </w:rPr>
            </w:pPr>
          </w:p>
        </w:tc>
        <w:tc>
          <w:tcPr>
            <w:tcW w:w="2693" w:type="dxa"/>
          </w:tcPr>
          <w:p w:rsidR="009C4AB7" w:rsidRPr="008C5AB5" w:rsidRDefault="009C4AB7" w:rsidP="00001B1E">
            <w:pPr>
              <w:spacing w:before="240" w:after="240"/>
              <w:jc w:val="center"/>
              <w:rPr>
                <w:b/>
              </w:rPr>
            </w:pPr>
            <w:r w:rsidRPr="008C5AB5">
              <w:rPr>
                <w:b/>
              </w:rPr>
              <w:t>1</w:t>
            </w:r>
          </w:p>
        </w:tc>
        <w:tc>
          <w:tcPr>
            <w:tcW w:w="2693" w:type="dxa"/>
          </w:tcPr>
          <w:p w:rsidR="009C4AB7" w:rsidRPr="008C5AB5" w:rsidRDefault="009C4AB7" w:rsidP="00001B1E">
            <w:pPr>
              <w:spacing w:before="240" w:after="240"/>
              <w:jc w:val="center"/>
              <w:rPr>
                <w:b/>
              </w:rPr>
            </w:pPr>
            <w:r w:rsidRPr="008C5AB5">
              <w:rPr>
                <w:b/>
              </w:rPr>
              <w:t>2</w:t>
            </w:r>
          </w:p>
        </w:tc>
        <w:tc>
          <w:tcPr>
            <w:tcW w:w="2693" w:type="dxa"/>
          </w:tcPr>
          <w:p w:rsidR="009C4AB7" w:rsidRPr="008C5AB5" w:rsidRDefault="009C4AB7" w:rsidP="00001B1E">
            <w:pPr>
              <w:spacing w:before="240" w:after="240"/>
              <w:jc w:val="center"/>
              <w:rPr>
                <w:b/>
              </w:rPr>
            </w:pPr>
            <w:r w:rsidRPr="008C5AB5">
              <w:rPr>
                <w:b/>
              </w:rPr>
              <w:t>3</w:t>
            </w:r>
          </w:p>
        </w:tc>
        <w:tc>
          <w:tcPr>
            <w:tcW w:w="2694" w:type="dxa"/>
          </w:tcPr>
          <w:p w:rsidR="009C4AB7" w:rsidRPr="008C5AB5" w:rsidRDefault="009C4AB7" w:rsidP="00001B1E">
            <w:pPr>
              <w:spacing w:before="240" w:after="240"/>
              <w:jc w:val="center"/>
              <w:rPr>
                <w:b/>
              </w:rPr>
            </w:pPr>
            <w:r w:rsidRPr="008C5AB5">
              <w:rPr>
                <w:b/>
              </w:rPr>
              <w:t>4</w:t>
            </w:r>
          </w:p>
        </w:tc>
      </w:tr>
      <w:tr w:rsidR="009C4AB7" w:rsidTr="00001B1E">
        <w:tc>
          <w:tcPr>
            <w:tcW w:w="992" w:type="dxa"/>
            <w:vMerge/>
          </w:tcPr>
          <w:p w:rsidR="009C4AB7" w:rsidRDefault="009C4AB7" w:rsidP="00001B1E">
            <w:pPr>
              <w:spacing w:before="240" w:after="240"/>
              <w:rPr>
                <w:b/>
                <w:color w:val="FF0000"/>
              </w:rPr>
            </w:pPr>
          </w:p>
        </w:tc>
        <w:tc>
          <w:tcPr>
            <w:tcW w:w="11907" w:type="dxa"/>
            <w:gridSpan w:val="5"/>
          </w:tcPr>
          <w:p w:rsidR="009C4AB7" w:rsidRPr="008C5AB5" w:rsidRDefault="009C4AB7" w:rsidP="00001B1E">
            <w:pPr>
              <w:spacing w:before="240" w:after="240"/>
              <w:jc w:val="center"/>
              <w:rPr>
                <w:b/>
              </w:rPr>
            </w:pPr>
            <w:r w:rsidRPr="008C5AB5">
              <w:rPr>
                <w:b/>
              </w:rPr>
              <w:t>Impact</w:t>
            </w:r>
          </w:p>
        </w:tc>
      </w:tr>
    </w:tbl>
    <w:p w:rsidR="009C4AB7" w:rsidRDefault="009C4AB7" w:rsidP="009C4AB7">
      <w:pPr>
        <w:pStyle w:val="ListParagraph"/>
        <w:numPr>
          <w:ilvl w:val="0"/>
          <w:numId w:val="2"/>
        </w:numPr>
        <w:spacing w:before="240" w:after="240"/>
        <w:ind w:left="715" w:hanging="6"/>
        <w:contextualSpacing w:val="0"/>
      </w:pPr>
      <w:r w:rsidRPr="0048122B">
        <w:t xml:space="preserve">The </w:t>
      </w:r>
      <w:r>
        <w:t>register below seeks to assess specific risks and introduce a measure of consistency into the risk assessment process. The risk scores relating to residual risks can then be prioritised.</w:t>
      </w:r>
    </w:p>
    <w:p w:rsidR="009C4AB7" w:rsidRDefault="009C4AB7" w:rsidP="009C4AB7">
      <w:pPr>
        <w:pStyle w:val="ListParagraph"/>
        <w:numPr>
          <w:ilvl w:val="0"/>
          <w:numId w:val="2"/>
        </w:numPr>
        <w:spacing w:before="240" w:after="240"/>
        <w:ind w:left="715" w:hanging="6"/>
        <w:contextualSpacing w:val="0"/>
      </w:pPr>
      <w:r>
        <w:t>Planned actions, timescales, review dates, and direction of travel are noted for each risk, alongside the 'risk owner' responsible for managing it.</w:t>
      </w:r>
    </w:p>
    <w:p w:rsidR="009C4AB7" w:rsidRPr="0048122B" w:rsidRDefault="009C4AB7" w:rsidP="009C4AB7">
      <w:pPr>
        <w:pStyle w:val="ListParagraph"/>
        <w:numPr>
          <w:ilvl w:val="0"/>
          <w:numId w:val="2"/>
        </w:numPr>
        <w:spacing w:before="240" w:after="240"/>
        <w:ind w:left="715" w:hanging="6"/>
        <w:contextualSpacing w:val="0"/>
      </w:pPr>
      <w:r>
        <w:t>The thick black line indicates a proposed 'risk appetite' or tolerable level, to indicate an aspiration for acceptable risks to be less than 'medium/ high'.</w:t>
      </w:r>
    </w:p>
    <w:p w:rsidR="009C4AB7" w:rsidRDefault="009C4AB7" w:rsidP="009C4AB7">
      <w:pPr>
        <w:rPr>
          <w:b/>
        </w:rPr>
      </w:pPr>
      <w:r>
        <w:rPr>
          <w:b/>
        </w:rPr>
        <w:br w:type="page"/>
      </w:r>
    </w:p>
    <w:p w:rsidR="002F7C90" w:rsidRDefault="002F7C90" w:rsidP="002F7C90">
      <w:pPr>
        <w:rPr>
          <w:rFonts w:ascii="TT1915Ao00" w:eastAsia="Cambria" w:hAnsi="TT1915Ao00" w:cs="TT1915Ao00"/>
        </w:rPr>
      </w:pPr>
    </w:p>
    <w:p w:rsidR="0062582A" w:rsidRDefault="0062582A" w:rsidP="002F7C90">
      <w:pPr>
        <w:rPr>
          <w:rFonts w:ascii="TT1915Ao00" w:eastAsia="Cambria" w:hAnsi="TT1915Ao00" w:cs="TT1915Ao00"/>
        </w:rPr>
      </w:pPr>
    </w:p>
    <w:p w:rsidR="0062582A" w:rsidRPr="00912379" w:rsidRDefault="0062582A" w:rsidP="002F7C90">
      <w:pPr>
        <w:rPr>
          <w:rFonts w:ascii="TT1915Ao00" w:eastAsia="Cambria" w:hAnsi="TT1915Ao00" w:cs="TT1915Ao00"/>
        </w:rPr>
      </w:pPr>
    </w:p>
    <w:p w:rsidR="002F7C90" w:rsidRPr="002F7C90" w:rsidRDefault="002F7C90" w:rsidP="0062582A">
      <w:pPr>
        <w:pStyle w:val="ListParagraph"/>
        <w:numPr>
          <w:ilvl w:val="0"/>
          <w:numId w:val="3"/>
        </w:numPr>
        <w:autoSpaceDE w:val="0"/>
        <w:autoSpaceDN w:val="0"/>
        <w:adjustRightInd w:val="0"/>
        <w:spacing w:before="240" w:after="240"/>
        <w:contextualSpacing w:val="0"/>
        <w:rPr>
          <w:b/>
        </w:rPr>
      </w:pPr>
      <w:r w:rsidRPr="002F7C90">
        <w:rPr>
          <w:b/>
        </w:rPr>
        <w:t>Objectives of the Pension Fund</w:t>
      </w:r>
    </w:p>
    <w:p w:rsidR="002F7C90" w:rsidRPr="002F7C90" w:rsidRDefault="002F7C90" w:rsidP="0062582A">
      <w:pPr>
        <w:pStyle w:val="ListParagraph"/>
        <w:autoSpaceDE w:val="0"/>
        <w:autoSpaceDN w:val="0"/>
        <w:adjustRightInd w:val="0"/>
        <w:spacing w:before="240" w:after="240"/>
        <w:contextualSpacing w:val="0"/>
      </w:pPr>
      <w:r w:rsidRPr="002F7C90">
        <w:t>These are to:</w:t>
      </w:r>
    </w:p>
    <w:p w:rsidR="002F7C90" w:rsidRPr="00912379" w:rsidRDefault="002F7C90" w:rsidP="0062582A">
      <w:pPr>
        <w:pStyle w:val="ListParagraph"/>
        <w:numPr>
          <w:ilvl w:val="0"/>
          <w:numId w:val="2"/>
        </w:numPr>
        <w:spacing w:before="240" w:after="240"/>
        <w:ind w:left="1418" w:hanging="709"/>
        <w:contextualSpacing w:val="0"/>
        <w:rPr>
          <w:rFonts w:ascii="TT1915Do00" w:eastAsia="Cambria" w:hAnsi="TT1915Do00" w:cs="TT1915Do00"/>
        </w:rPr>
      </w:pPr>
      <w:r w:rsidRPr="00912379">
        <w:rPr>
          <w:rFonts w:ascii="TT1915Do00" w:eastAsia="Cambria" w:hAnsi="TT1915Do00" w:cs="TT1915Do00"/>
        </w:rPr>
        <w:t>enable employer contribution rates to be kept as nearly constant as possible and (subject to the administering authority not taking undue risks) at reasonable cost to the taxpayers, scheduled, resolution and admitted bodies, whilst achieving and maintaining fund solvency, which should be assessed in light of the risk profile of the fund and the risk appetite of the administering authority and employers alike</w:t>
      </w:r>
      <w:r>
        <w:rPr>
          <w:rFonts w:ascii="TT1915Do00" w:eastAsia="Cambria" w:hAnsi="TT1915Do00" w:cs="TT1915Do00"/>
        </w:rPr>
        <w:t>;</w:t>
      </w:r>
    </w:p>
    <w:p w:rsidR="002F7C90" w:rsidRPr="00912379" w:rsidRDefault="002F7C90" w:rsidP="0062582A">
      <w:pPr>
        <w:pStyle w:val="ListParagraph"/>
        <w:numPr>
          <w:ilvl w:val="0"/>
          <w:numId w:val="2"/>
        </w:numPr>
        <w:spacing w:before="240" w:after="240"/>
        <w:ind w:left="1418" w:hanging="709"/>
        <w:contextualSpacing w:val="0"/>
        <w:rPr>
          <w:rFonts w:ascii="TT1915Do00" w:eastAsia="Cambria" w:hAnsi="TT1915Do00" w:cs="TT1915Do00"/>
        </w:rPr>
      </w:pPr>
      <w:r w:rsidRPr="00912379">
        <w:rPr>
          <w:rFonts w:ascii="TT1915Do00" w:eastAsia="Cambria" w:hAnsi="TT1915Do00" w:cs="TT1915Do00"/>
        </w:rPr>
        <w:t>manage employers’ liabilities effectively and ensure that sufficient resources are available to meet all liabilities as they fall due</w:t>
      </w:r>
      <w:r>
        <w:rPr>
          <w:rFonts w:ascii="TT1915Do00" w:eastAsia="Cambria" w:hAnsi="TT1915Do00" w:cs="TT1915Do00"/>
        </w:rPr>
        <w:t>;</w:t>
      </w:r>
      <w:r w:rsidRPr="00912379">
        <w:rPr>
          <w:rFonts w:ascii="TT1915Do00" w:eastAsia="Cambria" w:hAnsi="TT1915Do00" w:cs="TT1915Do00"/>
        </w:rPr>
        <w:t xml:space="preserve"> and</w:t>
      </w:r>
    </w:p>
    <w:p w:rsidR="002F7C90" w:rsidRDefault="002F7C90" w:rsidP="0062582A">
      <w:pPr>
        <w:pStyle w:val="ListParagraph"/>
        <w:numPr>
          <w:ilvl w:val="0"/>
          <w:numId w:val="2"/>
        </w:numPr>
        <w:spacing w:before="240" w:after="240"/>
        <w:ind w:left="1418" w:hanging="709"/>
        <w:contextualSpacing w:val="0"/>
        <w:rPr>
          <w:rFonts w:ascii="TT1915Do00" w:eastAsia="Cambria" w:hAnsi="TT1915Do00" w:cs="TT1915Do00"/>
        </w:rPr>
      </w:pPr>
      <w:r w:rsidRPr="00912379">
        <w:rPr>
          <w:rFonts w:ascii="TT1915Do00" w:eastAsia="Cambria" w:hAnsi="TT1915Do00" w:cs="TT1915Do00"/>
        </w:rPr>
        <w:t>seek returns on investment within reasonable risk parameters.</w:t>
      </w:r>
    </w:p>
    <w:p w:rsidR="0062582A" w:rsidRPr="0062582A" w:rsidRDefault="0062582A" w:rsidP="0062582A">
      <w:pPr>
        <w:spacing w:before="240" w:after="240"/>
        <w:rPr>
          <w:rFonts w:ascii="TT1915Do00" w:eastAsia="Cambria" w:hAnsi="TT1915Do00" w:cs="TT1915Do00"/>
        </w:rPr>
      </w:pPr>
    </w:p>
    <w:p w:rsidR="0062582A" w:rsidRDefault="0062582A" w:rsidP="0062582A">
      <w:pPr>
        <w:pStyle w:val="ListParagraph"/>
        <w:numPr>
          <w:ilvl w:val="0"/>
          <w:numId w:val="3"/>
        </w:numPr>
        <w:autoSpaceDE w:val="0"/>
        <w:autoSpaceDN w:val="0"/>
        <w:adjustRightInd w:val="0"/>
        <w:spacing w:before="240" w:after="240"/>
        <w:ind w:left="714" w:hanging="357"/>
        <w:contextualSpacing w:val="0"/>
        <w:rPr>
          <w:b/>
        </w:rPr>
      </w:pPr>
      <w:r>
        <w:rPr>
          <w:b/>
        </w:rPr>
        <w:t>Invest</w:t>
      </w:r>
      <w:r w:rsidR="00912036">
        <w:rPr>
          <w:b/>
        </w:rPr>
        <w:t>ment</w:t>
      </w:r>
      <w:r>
        <w:rPr>
          <w:b/>
        </w:rPr>
        <w:t xml:space="preserve"> objectives of the Pension Fund</w:t>
      </w:r>
    </w:p>
    <w:p w:rsidR="0062582A" w:rsidRPr="008C7F7C" w:rsidRDefault="0062582A" w:rsidP="0062582A">
      <w:pPr>
        <w:pStyle w:val="ListParagraph"/>
        <w:autoSpaceDE w:val="0"/>
        <w:autoSpaceDN w:val="0"/>
        <w:adjustRightInd w:val="0"/>
        <w:spacing w:before="240" w:after="240"/>
        <w:contextualSpacing w:val="0"/>
      </w:pPr>
      <w:r w:rsidRPr="008C7F7C">
        <w:rPr>
          <w:rFonts w:cs="Arial"/>
        </w:rPr>
        <w:t>The Fund has two objectives in terms of its investment activities:</w:t>
      </w:r>
    </w:p>
    <w:p w:rsidR="0062582A" w:rsidRPr="008C7F7C" w:rsidRDefault="0062582A" w:rsidP="0062582A">
      <w:pPr>
        <w:pStyle w:val="ListParagraph"/>
        <w:numPr>
          <w:ilvl w:val="0"/>
          <w:numId w:val="2"/>
        </w:numPr>
        <w:spacing w:before="240" w:after="240"/>
        <w:ind w:left="1418" w:hanging="709"/>
        <w:contextualSpacing w:val="0"/>
      </w:pPr>
      <w:r w:rsidRPr="008C7F7C">
        <w:rPr>
          <w:rFonts w:cs="Arial"/>
        </w:rPr>
        <w:t>To ensure that resources are available to meet the Fund's liabilities through achieving investment performance at least in line with actuarial assumption</w:t>
      </w:r>
      <w:r>
        <w:rPr>
          <w:rFonts w:cs="Arial"/>
        </w:rPr>
        <w:t>s</w:t>
      </w:r>
      <w:r w:rsidRPr="008C7F7C">
        <w:rPr>
          <w:rFonts w:cs="Arial"/>
        </w:rPr>
        <w:t>.</w:t>
      </w:r>
    </w:p>
    <w:p w:rsidR="0062582A" w:rsidRPr="0062582A" w:rsidRDefault="0062582A" w:rsidP="0062582A">
      <w:pPr>
        <w:pStyle w:val="ListParagraph"/>
        <w:numPr>
          <w:ilvl w:val="0"/>
          <w:numId w:val="2"/>
        </w:numPr>
        <w:spacing w:before="240" w:after="240"/>
        <w:ind w:left="1418" w:hanging="709"/>
        <w:contextualSpacing w:val="0"/>
      </w:pPr>
      <w:r w:rsidRPr="008C7F7C">
        <w:rPr>
          <w:rFonts w:cs="Arial"/>
        </w:rPr>
        <w:t>To achieve full funding (i.e. no funding deficit) over a period no longer than the current recovery period.</w:t>
      </w:r>
    </w:p>
    <w:p w:rsidR="00E54F8C" w:rsidRPr="00E54F8C" w:rsidRDefault="00E54F8C" w:rsidP="00AE6FCD">
      <w:pPr>
        <w:rPr>
          <w:rFonts w:cs="Arial"/>
          <w:b/>
          <w:color w:val="FF0000"/>
        </w:rPr>
      </w:pPr>
    </w:p>
    <w:sectPr w:rsidR="00E54F8C" w:rsidRPr="00E54F8C" w:rsidSect="00DA4187">
      <w:headerReference w:type="default" r:id="rId10"/>
      <w:footerReference w:type="default" r:id="rId11"/>
      <w:pgSz w:w="23814" w:h="16840" w:orient="landscape" w:code="8"/>
      <w:pgMar w:top="993" w:right="1134" w:bottom="993" w:left="1134" w:header="709" w:footer="68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B1E" w:rsidRDefault="00001B1E">
      <w:r>
        <w:separator/>
      </w:r>
    </w:p>
  </w:endnote>
  <w:endnote w:type="continuationSeparator" w:id="0">
    <w:p w:rsidR="00001B1E" w:rsidRDefault="0000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915E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1915Ao00">
    <w:panose1 w:val="00000000000000000000"/>
    <w:charset w:val="00"/>
    <w:family w:val="auto"/>
    <w:notTrueType/>
    <w:pitch w:val="default"/>
    <w:sig w:usb0="00000003" w:usb1="00000000" w:usb2="00000000" w:usb3="00000000" w:csb0="00000001" w:csb1="00000000"/>
  </w:font>
  <w:font w:name="TT1915D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B1E" w:rsidRDefault="00C17543" w:rsidP="002601E9">
    <w:pPr>
      <w:pStyle w:val="Footer"/>
      <w:jc w:val="center"/>
    </w:pPr>
    <w:r>
      <w:rPr>
        <w:rStyle w:val="PageNumber"/>
      </w:rPr>
      <w:fldChar w:fldCharType="begin"/>
    </w:r>
    <w:r w:rsidR="00001B1E">
      <w:rPr>
        <w:rStyle w:val="PageNumber"/>
      </w:rPr>
      <w:instrText xml:space="preserve"> PAGE </w:instrText>
    </w:r>
    <w:r>
      <w:rPr>
        <w:rStyle w:val="PageNumber"/>
      </w:rPr>
      <w:fldChar w:fldCharType="separate"/>
    </w:r>
    <w:r w:rsidR="0013613C">
      <w:rPr>
        <w:rStyle w:val="PageNumber"/>
        <w:noProof/>
      </w:rPr>
      <w:t>- 1 -</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B1E" w:rsidRDefault="00C17543" w:rsidP="002601E9">
    <w:pPr>
      <w:pStyle w:val="Footer"/>
      <w:jc w:val="center"/>
    </w:pPr>
    <w:r>
      <w:rPr>
        <w:rStyle w:val="PageNumber"/>
      </w:rPr>
      <w:fldChar w:fldCharType="begin"/>
    </w:r>
    <w:r w:rsidR="00001B1E">
      <w:rPr>
        <w:rStyle w:val="PageNumber"/>
      </w:rPr>
      <w:instrText xml:space="preserve"> PAGE </w:instrText>
    </w:r>
    <w:r>
      <w:rPr>
        <w:rStyle w:val="PageNumber"/>
      </w:rPr>
      <w:fldChar w:fldCharType="separate"/>
    </w:r>
    <w:r w:rsidR="0013613C">
      <w:rPr>
        <w:rStyle w:val="PageNumber"/>
        <w:noProof/>
      </w:rPr>
      <w:t>- 3 -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B1E" w:rsidRDefault="00001B1E">
      <w:r>
        <w:separator/>
      </w:r>
    </w:p>
  </w:footnote>
  <w:footnote w:type="continuationSeparator" w:id="0">
    <w:p w:rsidR="00001B1E" w:rsidRDefault="00001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B1E" w:rsidRPr="009C4AB7" w:rsidRDefault="00001B1E" w:rsidP="009C4AB7">
    <w:pPr>
      <w:pStyle w:val="Header"/>
      <w:jc w:val="right"/>
      <w:rPr>
        <w:b/>
      </w:rPr>
    </w:pPr>
    <w:r w:rsidRPr="009C4AB7">
      <w:rPr>
        <w:b/>
      </w:rPr>
      <w:t>APPENDIX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B1E" w:rsidRPr="00DA4187" w:rsidRDefault="00001B1E" w:rsidP="00CC09EA">
    <w:pPr>
      <w:pStyle w:val="Header"/>
      <w:tabs>
        <w:tab w:val="right" w:pos="21546"/>
      </w:tabs>
      <w:rPr>
        <w:b/>
        <w:sz w:val="28"/>
        <w:szCs w:val="28"/>
      </w:rPr>
    </w:pPr>
    <w:r w:rsidRPr="00DA4187">
      <w:rPr>
        <w:b/>
        <w:sz w:val="28"/>
        <w:szCs w:val="28"/>
      </w:rPr>
      <w:t xml:space="preserve">Lancashire County Pension Fund Risk Register – </w:t>
    </w:r>
    <w:r w:rsidR="00AE6FCD">
      <w:rPr>
        <w:b/>
        <w:sz w:val="28"/>
        <w:szCs w:val="28"/>
      </w:rPr>
      <w:t>July 2014 update</w:t>
    </w:r>
    <w:r>
      <w:rPr>
        <w:b/>
        <w:sz w:val="28"/>
        <w:szCs w:val="28"/>
      </w:rPr>
      <w:tab/>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7D63"/>
    <w:multiLevelType w:val="hybridMultilevel"/>
    <w:tmpl w:val="45F8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2635A"/>
    <w:multiLevelType w:val="hybridMultilevel"/>
    <w:tmpl w:val="721C3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551652"/>
    <w:multiLevelType w:val="hybridMultilevel"/>
    <w:tmpl w:val="F39A0F1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51AF7FB4"/>
    <w:multiLevelType w:val="hybridMultilevel"/>
    <w:tmpl w:val="F52C2C7C"/>
    <w:lvl w:ilvl="0" w:tplc="4EE8A674">
      <w:start w:val="1"/>
      <w:numFmt w:val="bullet"/>
      <w:lvlText w:val="•"/>
      <w:lvlJc w:val="left"/>
      <w:pPr>
        <w:ind w:left="927" w:hanging="360"/>
      </w:pPr>
      <w:rPr>
        <w:rFonts w:ascii="TT1915Eo00" w:eastAsia="Cambria" w:hAnsi="TT1915Eo00" w:cs="TT1915Eo00"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6EB01520"/>
    <w:multiLevelType w:val="hybridMultilevel"/>
    <w:tmpl w:val="41DE7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10"/>
    <w:rsid w:val="00001B1E"/>
    <w:rsid w:val="00003E6F"/>
    <w:rsid w:val="00026E14"/>
    <w:rsid w:val="00034B04"/>
    <w:rsid w:val="00061153"/>
    <w:rsid w:val="00075337"/>
    <w:rsid w:val="00080F53"/>
    <w:rsid w:val="000A3A5D"/>
    <w:rsid w:val="000A6E63"/>
    <w:rsid w:val="000A7396"/>
    <w:rsid w:val="000C1644"/>
    <w:rsid w:val="000D270A"/>
    <w:rsid w:val="000E7482"/>
    <w:rsid w:val="00104125"/>
    <w:rsid w:val="00115952"/>
    <w:rsid w:val="00134872"/>
    <w:rsid w:val="0013613C"/>
    <w:rsid w:val="00160B76"/>
    <w:rsid w:val="00177882"/>
    <w:rsid w:val="00182DB7"/>
    <w:rsid w:val="00192D1E"/>
    <w:rsid w:val="0019667F"/>
    <w:rsid w:val="001B6710"/>
    <w:rsid w:val="001C5013"/>
    <w:rsid w:val="001D77AA"/>
    <w:rsid w:val="001E6685"/>
    <w:rsid w:val="001F1610"/>
    <w:rsid w:val="0020250F"/>
    <w:rsid w:val="0020489D"/>
    <w:rsid w:val="0020712A"/>
    <w:rsid w:val="00211264"/>
    <w:rsid w:val="002138B0"/>
    <w:rsid w:val="00220B5D"/>
    <w:rsid w:val="00225C52"/>
    <w:rsid w:val="00227C54"/>
    <w:rsid w:val="0023474C"/>
    <w:rsid w:val="00240365"/>
    <w:rsid w:val="00242BF5"/>
    <w:rsid w:val="002601E9"/>
    <w:rsid w:val="00264D93"/>
    <w:rsid w:val="002949EC"/>
    <w:rsid w:val="002C0D3F"/>
    <w:rsid w:val="002D258A"/>
    <w:rsid w:val="002F7C90"/>
    <w:rsid w:val="0030302F"/>
    <w:rsid w:val="003043D1"/>
    <w:rsid w:val="00312922"/>
    <w:rsid w:val="00323D42"/>
    <w:rsid w:val="00333547"/>
    <w:rsid w:val="00334697"/>
    <w:rsid w:val="00341001"/>
    <w:rsid w:val="0034633D"/>
    <w:rsid w:val="0035551C"/>
    <w:rsid w:val="00364EA1"/>
    <w:rsid w:val="00374487"/>
    <w:rsid w:val="00392A0A"/>
    <w:rsid w:val="003B0768"/>
    <w:rsid w:val="003B12AF"/>
    <w:rsid w:val="003B6BBA"/>
    <w:rsid w:val="003E27DC"/>
    <w:rsid w:val="003F51E0"/>
    <w:rsid w:val="004060DE"/>
    <w:rsid w:val="00410B95"/>
    <w:rsid w:val="00417E0D"/>
    <w:rsid w:val="00425C93"/>
    <w:rsid w:val="004322C0"/>
    <w:rsid w:val="00444098"/>
    <w:rsid w:val="00453EDE"/>
    <w:rsid w:val="00472C8D"/>
    <w:rsid w:val="00473BE5"/>
    <w:rsid w:val="0048122B"/>
    <w:rsid w:val="004949C4"/>
    <w:rsid w:val="00497913"/>
    <w:rsid w:val="004A5C07"/>
    <w:rsid w:val="004C0C19"/>
    <w:rsid w:val="004C4BE8"/>
    <w:rsid w:val="004C4E3E"/>
    <w:rsid w:val="004D058E"/>
    <w:rsid w:val="004D1E4A"/>
    <w:rsid w:val="004D56CC"/>
    <w:rsid w:val="004D663D"/>
    <w:rsid w:val="004E7CFD"/>
    <w:rsid w:val="004F4764"/>
    <w:rsid w:val="00510329"/>
    <w:rsid w:val="005165E0"/>
    <w:rsid w:val="00535865"/>
    <w:rsid w:val="00552973"/>
    <w:rsid w:val="00573973"/>
    <w:rsid w:val="00577014"/>
    <w:rsid w:val="00577079"/>
    <w:rsid w:val="0058260F"/>
    <w:rsid w:val="0059558A"/>
    <w:rsid w:val="005B29E5"/>
    <w:rsid w:val="005B6C0D"/>
    <w:rsid w:val="005C0298"/>
    <w:rsid w:val="005C7B1F"/>
    <w:rsid w:val="005D4EDA"/>
    <w:rsid w:val="005E166E"/>
    <w:rsid w:val="005E380D"/>
    <w:rsid w:val="00601DF4"/>
    <w:rsid w:val="0060553A"/>
    <w:rsid w:val="00605A64"/>
    <w:rsid w:val="00622A10"/>
    <w:rsid w:val="0062582A"/>
    <w:rsid w:val="00673F01"/>
    <w:rsid w:val="006753CA"/>
    <w:rsid w:val="006769C6"/>
    <w:rsid w:val="006820ED"/>
    <w:rsid w:val="00692E0E"/>
    <w:rsid w:val="006B3491"/>
    <w:rsid w:val="006B5AE6"/>
    <w:rsid w:val="006D5D11"/>
    <w:rsid w:val="0071177F"/>
    <w:rsid w:val="00712F63"/>
    <w:rsid w:val="00720F84"/>
    <w:rsid w:val="007240A2"/>
    <w:rsid w:val="00732E26"/>
    <w:rsid w:val="00733559"/>
    <w:rsid w:val="007348DA"/>
    <w:rsid w:val="00737473"/>
    <w:rsid w:val="00763DED"/>
    <w:rsid w:val="00765564"/>
    <w:rsid w:val="00765EDA"/>
    <w:rsid w:val="00795957"/>
    <w:rsid w:val="00795E36"/>
    <w:rsid w:val="007A63AB"/>
    <w:rsid w:val="007D6F2E"/>
    <w:rsid w:val="007D6FA4"/>
    <w:rsid w:val="007E7809"/>
    <w:rsid w:val="008171B4"/>
    <w:rsid w:val="00817F51"/>
    <w:rsid w:val="00824E3A"/>
    <w:rsid w:val="00847856"/>
    <w:rsid w:val="008503E5"/>
    <w:rsid w:val="00853631"/>
    <w:rsid w:val="00861AF4"/>
    <w:rsid w:val="00871E6D"/>
    <w:rsid w:val="00883273"/>
    <w:rsid w:val="0088381D"/>
    <w:rsid w:val="00884668"/>
    <w:rsid w:val="008A0CD2"/>
    <w:rsid w:val="008A5965"/>
    <w:rsid w:val="008C041A"/>
    <w:rsid w:val="008C06BC"/>
    <w:rsid w:val="008C19AA"/>
    <w:rsid w:val="008C5AB5"/>
    <w:rsid w:val="008F230B"/>
    <w:rsid w:val="008F27A4"/>
    <w:rsid w:val="008F37FA"/>
    <w:rsid w:val="00905E27"/>
    <w:rsid w:val="00912036"/>
    <w:rsid w:val="00913B45"/>
    <w:rsid w:val="00922D74"/>
    <w:rsid w:val="0092450E"/>
    <w:rsid w:val="0092555F"/>
    <w:rsid w:val="0092678E"/>
    <w:rsid w:val="00926AFB"/>
    <w:rsid w:val="00934A70"/>
    <w:rsid w:val="00934A73"/>
    <w:rsid w:val="00944AD0"/>
    <w:rsid w:val="00945CCE"/>
    <w:rsid w:val="00961442"/>
    <w:rsid w:val="00962AB2"/>
    <w:rsid w:val="009645B2"/>
    <w:rsid w:val="00965D19"/>
    <w:rsid w:val="009669AE"/>
    <w:rsid w:val="00970AA4"/>
    <w:rsid w:val="00970B53"/>
    <w:rsid w:val="00972C48"/>
    <w:rsid w:val="009773D8"/>
    <w:rsid w:val="0098241D"/>
    <w:rsid w:val="00993AA8"/>
    <w:rsid w:val="009A6131"/>
    <w:rsid w:val="009A7F86"/>
    <w:rsid w:val="009B3E07"/>
    <w:rsid w:val="009C4AB7"/>
    <w:rsid w:val="009D6CAA"/>
    <w:rsid w:val="009F3CD8"/>
    <w:rsid w:val="00A1552D"/>
    <w:rsid w:val="00A21BF3"/>
    <w:rsid w:val="00A30415"/>
    <w:rsid w:val="00A34A03"/>
    <w:rsid w:val="00A4133A"/>
    <w:rsid w:val="00A50EF0"/>
    <w:rsid w:val="00A53382"/>
    <w:rsid w:val="00A666EE"/>
    <w:rsid w:val="00A91580"/>
    <w:rsid w:val="00A942EE"/>
    <w:rsid w:val="00A95746"/>
    <w:rsid w:val="00AB7FDF"/>
    <w:rsid w:val="00AC2F5B"/>
    <w:rsid w:val="00AC44CB"/>
    <w:rsid w:val="00AC4E1E"/>
    <w:rsid w:val="00AE0191"/>
    <w:rsid w:val="00AE16E9"/>
    <w:rsid w:val="00AE326B"/>
    <w:rsid w:val="00AE6FCD"/>
    <w:rsid w:val="00AE775F"/>
    <w:rsid w:val="00AF3A86"/>
    <w:rsid w:val="00AF76B3"/>
    <w:rsid w:val="00B04076"/>
    <w:rsid w:val="00B33CBB"/>
    <w:rsid w:val="00B443B5"/>
    <w:rsid w:val="00B6089F"/>
    <w:rsid w:val="00B60E8A"/>
    <w:rsid w:val="00B82B97"/>
    <w:rsid w:val="00B86EC2"/>
    <w:rsid w:val="00BA201E"/>
    <w:rsid w:val="00BC7956"/>
    <w:rsid w:val="00BD55CF"/>
    <w:rsid w:val="00BD716D"/>
    <w:rsid w:val="00C17543"/>
    <w:rsid w:val="00C27116"/>
    <w:rsid w:val="00C32F50"/>
    <w:rsid w:val="00C350EC"/>
    <w:rsid w:val="00C52966"/>
    <w:rsid w:val="00C61ED5"/>
    <w:rsid w:val="00C65FEE"/>
    <w:rsid w:val="00C769B1"/>
    <w:rsid w:val="00C807A1"/>
    <w:rsid w:val="00C849EB"/>
    <w:rsid w:val="00CA1127"/>
    <w:rsid w:val="00CB09D6"/>
    <w:rsid w:val="00CB5F1F"/>
    <w:rsid w:val="00CC09EA"/>
    <w:rsid w:val="00CD0799"/>
    <w:rsid w:val="00CD4C84"/>
    <w:rsid w:val="00CD786E"/>
    <w:rsid w:val="00CE6A1B"/>
    <w:rsid w:val="00CF3B6F"/>
    <w:rsid w:val="00CF4468"/>
    <w:rsid w:val="00D12631"/>
    <w:rsid w:val="00D16FEC"/>
    <w:rsid w:val="00D26ECD"/>
    <w:rsid w:val="00D3089A"/>
    <w:rsid w:val="00D43B4F"/>
    <w:rsid w:val="00D44DB5"/>
    <w:rsid w:val="00D47350"/>
    <w:rsid w:val="00D50D0C"/>
    <w:rsid w:val="00D727CB"/>
    <w:rsid w:val="00D743D3"/>
    <w:rsid w:val="00D80F65"/>
    <w:rsid w:val="00D8267A"/>
    <w:rsid w:val="00D82CF6"/>
    <w:rsid w:val="00D92248"/>
    <w:rsid w:val="00D94FB5"/>
    <w:rsid w:val="00D96D1E"/>
    <w:rsid w:val="00DA2CEC"/>
    <w:rsid w:val="00DA4187"/>
    <w:rsid w:val="00DA576D"/>
    <w:rsid w:val="00DA628E"/>
    <w:rsid w:val="00DD33B1"/>
    <w:rsid w:val="00DD5F72"/>
    <w:rsid w:val="00DF4036"/>
    <w:rsid w:val="00E01D9A"/>
    <w:rsid w:val="00E10F98"/>
    <w:rsid w:val="00E16FCC"/>
    <w:rsid w:val="00E2214B"/>
    <w:rsid w:val="00E3149C"/>
    <w:rsid w:val="00E545AE"/>
    <w:rsid w:val="00E54F8C"/>
    <w:rsid w:val="00E60868"/>
    <w:rsid w:val="00E66E0F"/>
    <w:rsid w:val="00E6787C"/>
    <w:rsid w:val="00E72072"/>
    <w:rsid w:val="00E9245D"/>
    <w:rsid w:val="00EA6DCD"/>
    <w:rsid w:val="00EB0C7B"/>
    <w:rsid w:val="00EB150A"/>
    <w:rsid w:val="00EB2FEB"/>
    <w:rsid w:val="00EB43B4"/>
    <w:rsid w:val="00EB5A91"/>
    <w:rsid w:val="00EC29E0"/>
    <w:rsid w:val="00ED18FA"/>
    <w:rsid w:val="00F06714"/>
    <w:rsid w:val="00F2737F"/>
    <w:rsid w:val="00F30929"/>
    <w:rsid w:val="00F31656"/>
    <w:rsid w:val="00F32EE1"/>
    <w:rsid w:val="00F3351F"/>
    <w:rsid w:val="00F37988"/>
    <w:rsid w:val="00F402DD"/>
    <w:rsid w:val="00F460A6"/>
    <w:rsid w:val="00F53AAD"/>
    <w:rsid w:val="00F618DB"/>
    <w:rsid w:val="00F672BD"/>
    <w:rsid w:val="00F76433"/>
    <w:rsid w:val="00F77288"/>
    <w:rsid w:val="00F83AE0"/>
    <w:rsid w:val="00F87233"/>
    <w:rsid w:val="00F90750"/>
    <w:rsid w:val="00F92870"/>
    <w:rsid w:val="00FB1805"/>
    <w:rsid w:val="00FC1993"/>
    <w:rsid w:val="00FF7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red" shadowcolor="none"/>
    </o:shapedefaults>
    <o:shapelayout v:ext="edit">
      <o:idmap v:ext="edit" data="1"/>
    </o:shapelayout>
  </w:shapeDefaults>
  <w:decimalSymbol w:val="."/>
  <w:listSeparator w:val=","/>
  <w15:docId w15:val="{C3019F4D-A4AB-4BA6-9C5D-612A10ED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E2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2A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601E9"/>
    <w:pPr>
      <w:tabs>
        <w:tab w:val="center" w:pos="4153"/>
        <w:tab w:val="right" w:pos="8306"/>
      </w:tabs>
    </w:pPr>
  </w:style>
  <w:style w:type="paragraph" w:styleId="Footer">
    <w:name w:val="footer"/>
    <w:basedOn w:val="Normal"/>
    <w:rsid w:val="002601E9"/>
    <w:pPr>
      <w:tabs>
        <w:tab w:val="center" w:pos="4153"/>
        <w:tab w:val="right" w:pos="8306"/>
      </w:tabs>
    </w:pPr>
  </w:style>
  <w:style w:type="character" w:styleId="PageNumber">
    <w:name w:val="page number"/>
    <w:basedOn w:val="DefaultParagraphFont"/>
    <w:rsid w:val="002601E9"/>
  </w:style>
  <w:style w:type="paragraph" w:styleId="BalloonText">
    <w:name w:val="Balloon Text"/>
    <w:basedOn w:val="Normal"/>
    <w:semiHidden/>
    <w:rsid w:val="00497913"/>
    <w:rPr>
      <w:rFonts w:ascii="Tahoma" w:hAnsi="Tahoma" w:cs="Tahoma"/>
      <w:sz w:val="16"/>
      <w:szCs w:val="16"/>
    </w:rPr>
  </w:style>
  <w:style w:type="paragraph" w:styleId="ListParagraph">
    <w:name w:val="List Paragraph"/>
    <w:basedOn w:val="Normal"/>
    <w:uiPriority w:val="34"/>
    <w:qFormat/>
    <w:rsid w:val="00965D19"/>
    <w:pPr>
      <w:ind w:left="720"/>
      <w:contextualSpacing/>
    </w:pPr>
  </w:style>
  <w:style w:type="paragraph" w:customStyle="1" w:styleId="Default">
    <w:name w:val="Default"/>
    <w:rsid w:val="0085363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24513">
      <w:bodyDiv w:val="1"/>
      <w:marLeft w:val="0"/>
      <w:marRight w:val="0"/>
      <w:marTop w:val="0"/>
      <w:marBottom w:val="0"/>
      <w:divBdr>
        <w:top w:val="none" w:sz="0" w:space="0" w:color="auto"/>
        <w:left w:val="none" w:sz="0" w:space="0" w:color="auto"/>
        <w:bottom w:val="none" w:sz="0" w:space="0" w:color="auto"/>
        <w:right w:val="none" w:sz="0" w:space="0" w:color="auto"/>
      </w:divBdr>
    </w:div>
    <w:div w:id="123223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233A-4ED1-4800-9FE1-B5039841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391</Words>
  <Characters>2234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Lancashire County Pension Fund – Risk Register</vt:lpstr>
    </vt:vector>
  </TitlesOfParts>
  <Company>Lancashire County Council</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Pension Fund – Risk Register</dc:title>
  <dc:subject/>
  <dc:creator>rparker004</dc:creator>
  <cp:keywords/>
  <dc:description/>
  <cp:lastModifiedBy>Mather, Chris</cp:lastModifiedBy>
  <cp:revision>2</cp:revision>
  <cp:lastPrinted>2014-03-04T16:20:00Z</cp:lastPrinted>
  <dcterms:created xsi:type="dcterms:W3CDTF">2014-08-26T10:00:00Z</dcterms:created>
  <dcterms:modified xsi:type="dcterms:W3CDTF">2014-08-26T10:00:00Z</dcterms:modified>
</cp:coreProperties>
</file>